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3E3CB9C9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Pupil premium strategy statement </w:t>
      </w:r>
      <w:r w:rsidR="001C351B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- Puddletown First School 2016/17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7D6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08BE95C5" w:rsidR="00C14FAE" w:rsidRPr="00B80272" w:rsidRDefault="00BF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Puddletown First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7D6D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2844943" w:rsidR="00C14FAE" w:rsidRPr="00B80272" w:rsidRDefault="00BF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7D6D3F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7DD1B700" w:rsidR="00C14FAE" w:rsidRPr="00F970BA" w:rsidRDefault="00BF7D9F">
            <w:pPr>
              <w:rPr>
                <w:rFonts w:ascii="Arial" w:hAnsi="Arial" w:cs="Arial"/>
                <w:highlight w:val="yellow"/>
              </w:rPr>
            </w:pPr>
            <w:r w:rsidRPr="00BF7D9F">
              <w:rPr>
                <w:rFonts w:ascii="Arial" w:hAnsi="Arial" w:cs="Arial"/>
              </w:rPr>
              <w:t>£15300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7D6D3F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252C1BE4" w:rsidR="00C14FAE" w:rsidRPr="00B80272" w:rsidRDefault="00C14FAE">
            <w:pPr>
              <w:rPr>
                <w:rFonts w:ascii="Arial" w:hAnsi="Arial" w:cs="Arial"/>
              </w:rPr>
            </w:pP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7D6D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7FB46A2" w:rsidR="00C14FAE" w:rsidRPr="00B80272" w:rsidRDefault="00BF7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09B3AD6" w:rsidR="00C14FAE" w:rsidRPr="00B80272" w:rsidRDefault="00B24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F562F3B" w:rsidR="00C14FAE" w:rsidRPr="00B80272" w:rsidRDefault="00AF30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01AF6882" w:rsidR="00C14FAE" w:rsidRPr="00B80272" w:rsidRDefault="00E92390" w:rsidP="00B80272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Outcomes at end of KS1 – Year 2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4CCA3DC7" w:rsidR="00EE50D0" w:rsidRPr="002954A6" w:rsidRDefault="0080765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- 3/4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76CC93CE" w:rsidR="00EE50D0" w:rsidRPr="002954A6" w:rsidRDefault="00AB4D2D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D332CB">
        <w:trPr>
          <w:trHeight w:val="387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135E35D3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C3311C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reading </w:t>
            </w:r>
            <w:r w:rsidR="00C3311C">
              <w:rPr>
                <w:rFonts w:ascii="Arial" w:eastAsia="Arial" w:hAnsi="Arial" w:cs="Arial"/>
                <w:b/>
                <w:bCs/>
              </w:rPr>
              <w:t>from YR</w:t>
            </w:r>
            <w:r w:rsidR="00D10855">
              <w:rPr>
                <w:rFonts w:ascii="Arial" w:eastAsia="Arial" w:hAnsi="Arial" w:cs="Arial"/>
                <w:b/>
                <w:bCs/>
              </w:rPr>
              <w:t xml:space="preserve"> to Y2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0F557C72" w:rsidR="00EE50D0" w:rsidRPr="002954A6" w:rsidRDefault="009146DB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4/4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1C63FE18" w:rsidR="00EE50D0" w:rsidRPr="002954A6" w:rsidRDefault="00375E3C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20438FFC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D10855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writing </w:t>
            </w:r>
            <w:r w:rsidR="00D10855">
              <w:rPr>
                <w:rFonts w:ascii="Arial" w:eastAsia="Arial" w:hAnsi="Arial" w:cs="Arial"/>
                <w:b/>
                <w:bCs/>
              </w:rPr>
              <w:t>from YR to Y2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5D93E3E0" w:rsidR="00EE50D0" w:rsidRPr="002954A6" w:rsidRDefault="009146DB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 3/4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67EEE917" w:rsidR="00EE50D0" w:rsidRPr="002954A6" w:rsidRDefault="00375E3C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61940F60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</w:t>
            </w:r>
            <w:r w:rsidR="00D10855">
              <w:rPr>
                <w:rFonts w:ascii="Arial" w:eastAsia="Arial" w:hAnsi="Arial" w:cs="Arial"/>
                <w:b/>
                <w:bCs/>
              </w:rPr>
              <w:t xml:space="preserve">expected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progress in maths </w:t>
            </w:r>
            <w:r w:rsidR="00D10855">
              <w:rPr>
                <w:rFonts w:ascii="Arial" w:eastAsia="Arial" w:hAnsi="Arial" w:cs="Arial"/>
                <w:b/>
                <w:bCs/>
              </w:rPr>
              <w:t>from YR to Y2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0D99E6A3" w:rsidR="00EE50D0" w:rsidRPr="002954A6" w:rsidRDefault="009146DB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4/4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0572B3AF" w:rsidR="00EE50D0" w:rsidRPr="002954A6" w:rsidRDefault="00375E3C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88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D332CB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D332CB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F3085">
        <w:trPr>
          <w:trHeight w:val="351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07E8FD52" w:rsidR="00915380" w:rsidRPr="00AE78F2" w:rsidRDefault="00581912" w:rsidP="005819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children are ready to learn in school, ensuring their emotional state is enabling engagement</w:t>
            </w:r>
          </w:p>
        </w:tc>
      </w:tr>
      <w:tr w:rsidR="002954A6" w:rsidRPr="002954A6" w14:paraId="4C8941F1" w14:textId="77777777" w:rsidTr="00D332CB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7BA73ABC" w:rsidR="00915380" w:rsidRPr="00AE78F2" w:rsidRDefault="00F061E8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Supporting children across transition – especially service children</w:t>
            </w:r>
          </w:p>
        </w:tc>
      </w:tr>
      <w:tr w:rsidR="002954A6" w:rsidRPr="002954A6" w14:paraId="2B877022" w14:textId="77777777" w:rsidTr="00D332CB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3216CA15" w:rsidR="00915380" w:rsidRPr="002954A6" w:rsidRDefault="00F061E8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 that pupils English skill – especially reading and maths skills are at an ARE by Y2</w:t>
            </w:r>
          </w:p>
        </w:tc>
      </w:tr>
      <w:tr w:rsidR="002954A6" w:rsidRPr="002954A6" w14:paraId="55470693" w14:textId="77777777" w:rsidTr="00D332CB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D332CB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53693A9B" w14:textId="77777777" w:rsidR="00915380" w:rsidRDefault="00F061E8" w:rsidP="00F06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Challenging persistent absence and atten</w:t>
            </w:r>
            <w:r w:rsidR="00256A55">
              <w:rPr>
                <w:rFonts w:ascii="Arial" w:hAnsi="Arial" w:cs="Arial"/>
                <w:sz w:val="18"/>
                <w:szCs w:val="18"/>
              </w:rPr>
              <w:t>dance for all children – current attendance 96.7</w:t>
            </w:r>
            <w:r w:rsidR="00C44EE2">
              <w:rPr>
                <w:rFonts w:ascii="Arial" w:hAnsi="Arial" w:cs="Arial"/>
                <w:sz w:val="18"/>
                <w:szCs w:val="18"/>
              </w:rPr>
              <w:t xml:space="preserve">% - 7/12 PP below 95% (1/12 below 90%) </w:t>
            </w:r>
            <w:r w:rsidR="004640BD">
              <w:rPr>
                <w:rFonts w:ascii="Arial" w:hAnsi="Arial" w:cs="Arial"/>
                <w:sz w:val="18"/>
                <w:szCs w:val="18"/>
              </w:rPr>
              <w:t>25/136 Non PP below 95%(</w:t>
            </w:r>
            <w:r w:rsidR="00CF7694">
              <w:rPr>
                <w:rFonts w:ascii="Arial" w:hAnsi="Arial" w:cs="Arial"/>
                <w:sz w:val="18"/>
                <w:szCs w:val="18"/>
              </w:rPr>
              <w:t>4/136 below 90%)</w:t>
            </w:r>
          </w:p>
          <w:p w14:paraId="059B29B2" w14:textId="44DE59C1" w:rsidR="00CF7694" w:rsidRPr="002954A6" w:rsidRDefault="00CF7694" w:rsidP="00F061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Provision for home reading/learning for identified children</w:t>
            </w:r>
          </w:p>
        </w:tc>
      </w:tr>
      <w:tr w:rsidR="002954A6" w:rsidRPr="002954A6" w14:paraId="1ADB6446" w14:textId="77777777" w:rsidTr="00D332CB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06FA215B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D332CB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3D7DA7" w:rsidRPr="002954A6" w14:paraId="360F8EE7" w14:textId="77777777" w:rsidTr="00D332CB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3D7DA7" w:rsidRPr="002954A6" w:rsidRDefault="003D7DA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29AC1B04" w:rsidR="003D7DA7" w:rsidRPr="00AE78F2" w:rsidRDefault="003D7DA7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build upon the strong pastoral care in each class and offer targeted Nurture and ELSA support where required</w:t>
            </w:r>
          </w:p>
        </w:tc>
        <w:tc>
          <w:tcPr>
            <w:tcW w:w="6030" w:type="dxa"/>
          </w:tcPr>
          <w:p w14:paraId="777A9E15" w14:textId="4A954344" w:rsidR="003D7DA7" w:rsidRPr="00AE78F2" w:rsidRDefault="003D7DA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emotional well being is well supported allowing the children to engage in their learning</w:t>
            </w:r>
          </w:p>
        </w:tc>
      </w:tr>
      <w:tr w:rsidR="003D7DA7" w:rsidRPr="002954A6" w14:paraId="712AA8B8" w14:textId="77777777" w:rsidTr="00D332CB">
        <w:trPr>
          <w:gridAfter w:val="1"/>
          <w:wAfter w:w="65" w:type="dxa"/>
          <w:trHeight w:val="522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3D7DA7" w:rsidRPr="002954A6" w:rsidRDefault="003D7DA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7F0ACEA7" w:rsidR="003D7DA7" w:rsidRPr="00AE78F2" w:rsidRDefault="003D7DA7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Children are supported to manage transition securely </w:t>
            </w:r>
          </w:p>
        </w:tc>
        <w:tc>
          <w:tcPr>
            <w:tcW w:w="6030" w:type="dxa"/>
          </w:tcPr>
          <w:p w14:paraId="4D813713" w14:textId="4476E349" w:rsidR="003D7DA7" w:rsidRPr="00AE78F2" w:rsidRDefault="003D7DA7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settle into school when a move has occurred, children quickly make progress from a change in year group</w:t>
            </w:r>
          </w:p>
        </w:tc>
      </w:tr>
      <w:tr w:rsidR="003D7DA7" w:rsidRPr="002954A6" w14:paraId="4901A4FC" w14:textId="77777777" w:rsidTr="00D332CB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3D7DA7" w:rsidRPr="002954A6" w:rsidRDefault="003D7DA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08A28238" w:rsidR="003D7DA7" w:rsidRPr="00AE78F2" w:rsidRDefault="001C1E5F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children are beginning to achieve below there are then a careful analysis of their needs is undertaken and where support is needed it is implemented</w:t>
            </w:r>
          </w:p>
        </w:tc>
        <w:tc>
          <w:tcPr>
            <w:tcW w:w="6030" w:type="dxa"/>
          </w:tcPr>
          <w:p w14:paraId="2262F299" w14:textId="75C7CCAB" w:rsidR="003D7DA7" w:rsidRPr="00AE78F2" w:rsidRDefault="002E2F47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 w:rsidR="001C1E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complete KS1 in line with </w:t>
            </w:r>
            <w:r w:rsidR="00AF3085">
              <w:rPr>
                <w:rFonts w:ascii="Arial" w:hAnsi="Arial" w:cs="Arial"/>
                <w:sz w:val="18"/>
                <w:szCs w:val="18"/>
              </w:rPr>
              <w:t>there are</w:t>
            </w:r>
          </w:p>
        </w:tc>
      </w:tr>
      <w:tr w:rsidR="003D7DA7" w:rsidRPr="002954A6" w14:paraId="204CF49E" w14:textId="77777777" w:rsidTr="00D332CB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3D7DA7" w:rsidRPr="002954A6" w:rsidRDefault="003D7DA7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5B42673C" w14:textId="77777777" w:rsidR="003D7DA7" w:rsidRDefault="003D7DA7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Attendance for all groups of children to be above 95% - HT to monitor attendance ½ termly and work with parents where attendance is poor</w:t>
            </w:r>
          </w:p>
          <w:p w14:paraId="6210ECD2" w14:textId="23A368F7" w:rsidR="003D7DA7" w:rsidRPr="00AE78F2" w:rsidRDefault="003D7DA7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have good opportunity to continue home learning – especially in YR –Y2 for reading and phonics</w:t>
            </w:r>
          </w:p>
        </w:tc>
        <w:tc>
          <w:tcPr>
            <w:tcW w:w="6030" w:type="dxa"/>
          </w:tcPr>
          <w:p w14:paraId="4EFE9D7A" w14:textId="77777777" w:rsidR="003D7DA7" w:rsidRDefault="003D7DA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persistent absence data for PP, Non PP, SEN and Non SEN will be above 95%</w:t>
            </w:r>
          </w:p>
          <w:p w14:paraId="3E5A110D" w14:textId="18EC31AE" w:rsidR="003D7DA7" w:rsidRPr="00AE78F2" w:rsidRDefault="003D7DA7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maintain progress with their peers</w:t>
            </w:r>
          </w:p>
        </w:tc>
      </w:tr>
    </w:tbl>
    <w:tbl>
      <w:tblPr>
        <w:tblStyle w:val="TableGrid"/>
        <w:tblpPr w:leftFromText="180" w:rightFromText="180" w:vertAnchor="text" w:horzAnchor="page" w:tblpX="960" w:tblpY="219"/>
        <w:tblW w:w="15324" w:type="dxa"/>
        <w:tblLayout w:type="fixed"/>
        <w:tblLook w:val="04A0" w:firstRow="1" w:lastRow="0" w:firstColumn="1" w:lastColumn="0" w:noHBand="0" w:noVBand="1"/>
      </w:tblPr>
      <w:tblGrid>
        <w:gridCol w:w="2395"/>
        <w:gridCol w:w="2441"/>
        <w:gridCol w:w="3880"/>
        <w:gridCol w:w="3304"/>
        <w:gridCol w:w="1293"/>
        <w:gridCol w:w="2011"/>
      </w:tblGrid>
      <w:tr w:rsidR="00D332CB" w:rsidRPr="002954A6" w14:paraId="38F60D25" w14:textId="77777777" w:rsidTr="00D306D9">
        <w:trPr>
          <w:trHeight w:val="256"/>
        </w:trPr>
        <w:tc>
          <w:tcPr>
            <w:tcW w:w="1532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ACD16F2" w14:textId="2D219899" w:rsidR="00D332CB" w:rsidRPr="002954A6" w:rsidRDefault="00D332CB" w:rsidP="002957F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D332CB" w:rsidRPr="002954A6" w14:paraId="219C76D5" w14:textId="77777777" w:rsidTr="00D306D9">
        <w:trPr>
          <w:trHeight w:val="238"/>
        </w:trPr>
        <w:tc>
          <w:tcPr>
            <w:tcW w:w="2395" w:type="dxa"/>
            <w:shd w:val="clear" w:color="auto" w:fill="auto"/>
            <w:tcMar>
              <w:top w:w="57" w:type="dxa"/>
              <w:bottom w:w="57" w:type="dxa"/>
            </w:tcMar>
          </w:tcPr>
          <w:p w14:paraId="52630601" w14:textId="77777777" w:rsidR="00D332CB" w:rsidRPr="002954A6" w:rsidRDefault="00D332CB" w:rsidP="002957F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929" w:type="dxa"/>
            <w:gridSpan w:val="5"/>
            <w:shd w:val="clear" w:color="auto" w:fill="auto"/>
          </w:tcPr>
          <w:p w14:paraId="3BEA2BBB" w14:textId="77777777" w:rsidR="00D332CB" w:rsidRPr="002954A6" w:rsidRDefault="00D332CB" w:rsidP="002957F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2016/17</w:t>
            </w:r>
          </w:p>
        </w:tc>
      </w:tr>
      <w:tr w:rsidR="00D332CB" w:rsidRPr="002954A6" w14:paraId="0DDE6BEE" w14:textId="77777777" w:rsidTr="00D306D9">
        <w:trPr>
          <w:trHeight w:val="614"/>
        </w:trPr>
        <w:tc>
          <w:tcPr>
            <w:tcW w:w="15324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0A879150" w14:textId="77777777" w:rsidR="00D332CB" w:rsidRPr="002954A6" w:rsidRDefault="00D332CB" w:rsidP="002957FF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D332CB" w:rsidRPr="002954A6" w14:paraId="15404B3C" w14:textId="77777777" w:rsidTr="00D306D9">
        <w:trPr>
          <w:trHeight w:val="238"/>
        </w:trPr>
        <w:tc>
          <w:tcPr>
            <w:tcW w:w="15324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8DF2FFA" w14:textId="77777777" w:rsidR="00D332CB" w:rsidRPr="002954A6" w:rsidRDefault="00D332CB" w:rsidP="002957F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D332CB" w:rsidRPr="002954A6" w14:paraId="34C9B63B" w14:textId="77777777" w:rsidTr="00D306D9">
        <w:trPr>
          <w:trHeight w:val="844"/>
        </w:trPr>
        <w:tc>
          <w:tcPr>
            <w:tcW w:w="2395" w:type="dxa"/>
            <w:tcMar>
              <w:top w:w="57" w:type="dxa"/>
              <w:bottom w:w="57" w:type="dxa"/>
            </w:tcMar>
          </w:tcPr>
          <w:p w14:paraId="5E93063A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14:paraId="4962B935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80" w:type="dxa"/>
            <w:shd w:val="clear" w:color="auto" w:fill="auto"/>
            <w:tcMar>
              <w:top w:w="57" w:type="dxa"/>
              <w:bottom w:w="57" w:type="dxa"/>
            </w:tcMar>
          </w:tcPr>
          <w:p w14:paraId="6B6813CC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304" w:type="dxa"/>
            <w:shd w:val="clear" w:color="auto" w:fill="auto"/>
            <w:tcMar>
              <w:top w:w="57" w:type="dxa"/>
              <w:bottom w:w="57" w:type="dxa"/>
            </w:tcMar>
          </w:tcPr>
          <w:p w14:paraId="12CC6862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93" w:type="dxa"/>
            <w:shd w:val="clear" w:color="auto" w:fill="auto"/>
          </w:tcPr>
          <w:p w14:paraId="46CD2109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11" w:type="dxa"/>
          </w:tcPr>
          <w:p w14:paraId="46794144" w14:textId="77777777" w:rsidR="00D332CB" w:rsidRPr="002954A6" w:rsidRDefault="00D332CB" w:rsidP="002957F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306D9" w:rsidRPr="002954A6" w14:paraId="69AF35CF" w14:textId="77777777" w:rsidTr="00D306D9">
        <w:trPr>
          <w:trHeight w:val="656"/>
        </w:trPr>
        <w:tc>
          <w:tcPr>
            <w:tcW w:w="2395" w:type="dxa"/>
            <w:vMerge w:val="restart"/>
            <w:tcMar>
              <w:top w:w="57" w:type="dxa"/>
              <w:bottom w:w="57" w:type="dxa"/>
            </w:tcMar>
          </w:tcPr>
          <w:p w14:paraId="3960B7D2" w14:textId="1A1DED4D" w:rsidR="00D306D9" w:rsidRPr="002957FF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children to have a ‘growth mindset’ that ensures background is not limiting pupil or staff aspiration</w:t>
            </w:r>
          </w:p>
        </w:tc>
        <w:tc>
          <w:tcPr>
            <w:tcW w:w="2441" w:type="dxa"/>
            <w:vMerge w:val="restart"/>
            <w:tcMar>
              <w:top w:w="57" w:type="dxa"/>
              <w:bottom w:w="57" w:type="dxa"/>
            </w:tcMar>
          </w:tcPr>
          <w:p w14:paraId="4E78CA94" w14:textId="66E10E39" w:rsidR="00D306D9" w:rsidRPr="002957FF" w:rsidRDefault="00D306D9" w:rsidP="00085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INSET day used to explore the nature and features of growth and closed mindset. Classteachers and class TA to identify children and track progress using proformas</w:t>
            </w:r>
          </w:p>
        </w:tc>
        <w:tc>
          <w:tcPr>
            <w:tcW w:w="388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0B008110" w14:textId="0BD1E751" w:rsidR="00D306D9" w:rsidRPr="00681361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 w:rsidRPr="00681361">
              <w:rPr>
                <w:rFonts w:ascii="Arial" w:hAnsi="Arial" w:cs="Arial"/>
                <w:sz w:val="18"/>
                <w:szCs w:val="18"/>
              </w:rPr>
              <w:t>High aspirations from the learners who view themselves with infinite capacity for improvement will raise attainment for all groups of children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04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63A386B9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During progress reviews the tracking proformas for attitude to learning are discussed</w:t>
            </w:r>
          </w:p>
          <w:p w14:paraId="2D63E881" w14:textId="6DF611C6" w:rsidR="00D306D9" w:rsidRPr="00672361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Lesson obs used to identify how a growth mindset is being promoted</w:t>
            </w:r>
          </w:p>
        </w:tc>
        <w:tc>
          <w:tcPr>
            <w:tcW w:w="1293" w:type="dxa"/>
            <w:vMerge w:val="restart"/>
            <w:shd w:val="clear" w:color="auto" w:fill="auto"/>
          </w:tcPr>
          <w:p w14:paraId="1414C761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</w:t>
            </w:r>
          </w:p>
          <w:p w14:paraId="6CDB5E59" w14:textId="11B4DA3A" w:rsidR="00D306D9" w:rsidRPr="00672361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2011" w:type="dxa"/>
          </w:tcPr>
          <w:p w14:paraId="31AD3F27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2017</w:t>
            </w:r>
          </w:p>
          <w:p w14:paraId="36BF7318" w14:textId="62249D23" w:rsidR="00D306D9" w:rsidRPr="00672361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6D9" w:rsidRPr="002954A6" w14:paraId="057625DE" w14:textId="77777777" w:rsidTr="00D306D9">
        <w:trPr>
          <w:trHeight w:val="656"/>
        </w:trPr>
        <w:tc>
          <w:tcPr>
            <w:tcW w:w="2395" w:type="dxa"/>
            <w:vMerge/>
            <w:tcMar>
              <w:top w:w="57" w:type="dxa"/>
              <w:bottom w:w="57" w:type="dxa"/>
            </w:tcMar>
          </w:tcPr>
          <w:p w14:paraId="0D3B6477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/>
            <w:tcMar>
              <w:top w:w="57" w:type="dxa"/>
              <w:bottom w:w="57" w:type="dxa"/>
            </w:tcMar>
          </w:tcPr>
          <w:p w14:paraId="3A89E147" w14:textId="77777777" w:rsidR="00D306D9" w:rsidRDefault="00D306D9" w:rsidP="00085C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56943589" w14:textId="77777777" w:rsidR="00D306D9" w:rsidRPr="00681361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ED6B352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Merge/>
            <w:shd w:val="clear" w:color="auto" w:fill="auto"/>
          </w:tcPr>
          <w:p w14:paraId="5DAA0F81" w14:textId="77777777" w:rsidR="00D306D9" w:rsidRDefault="00D306D9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14:paraId="6021A2F9" w14:textId="63009209" w:rsidR="00D306D9" w:rsidRPr="008F0E03" w:rsidRDefault="00D306D9" w:rsidP="002957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E03">
              <w:rPr>
                <w:rFonts w:ascii="Arial" w:hAnsi="Arial" w:cs="Arial"/>
                <w:b/>
                <w:sz w:val="18"/>
                <w:szCs w:val="18"/>
              </w:rPr>
              <w:t xml:space="preserve">Cost </w:t>
            </w:r>
            <w:r w:rsidR="00AF308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8F0E03">
              <w:rPr>
                <w:rFonts w:ascii="Arial" w:hAnsi="Arial" w:cs="Arial"/>
                <w:b/>
                <w:sz w:val="18"/>
                <w:szCs w:val="18"/>
              </w:rPr>
              <w:t xml:space="preserve"> Nil</w:t>
            </w:r>
          </w:p>
        </w:tc>
      </w:tr>
      <w:tr w:rsidR="002957FF" w:rsidRPr="002954A6" w14:paraId="2345B3F4" w14:textId="77777777" w:rsidTr="00D306D9">
        <w:trPr>
          <w:trHeight w:val="1"/>
        </w:trPr>
        <w:tc>
          <w:tcPr>
            <w:tcW w:w="15324" w:type="dxa"/>
            <w:gridSpan w:val="6"/>
            <w:tcMar>
              <w:top w:w="57" w:type="dxa"/>
              <w:bottom w:w="57" w:type="dxa"/>
            </w:tcMar>
          </w:tcPr>
          <w:p w14:paraId="30896DCA" w14:textId="7C317DD2" w:rsidR="002957FF" w:rsidRPr="002954A6" w:rsidRDefault="002957FF" w:rsidP="002957F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7FF" w:rsidRPr="002954A6" w14:paraId="07F55CE7" w14:textId="77777777" w:rsidTr="00D306D9">
        <w:trPr>
          <w:trHeight w:val="750"/>
        </w:trPr>
        <w:tc>
          <w:tcPr>
            <w:tcW w:w="2395" w:type="dxa"/>
            <w:tcMar>
              <w:top w:w="57" w:type="dxa"/>
              <w:bottom w:w="57" w:type="dxa"/>
            </w:tcMar>
          </w:tcPr>
          <w:p w14:paraId="44155BC0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14:paraId="026DB2DD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80" w:type="dxa"/>
            <w:tcMar>
              <w:top w:w="57" w:type="dxa"/>
              <w:bottom w:w="57" w:type="dxa"/>
            </w:tcMar>
          </w:tcPr>
          <w:p w14:paraId="45738128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304" w:type="dxa"/>
            <w:tcMar>
              <w:top w:w="57" w:type="dxa"/>
              <w:bottom w:w="57" w:type="dxa"/>
            </w:tcMar>
          </w:tcPr>
          <w:p w14:paraId="7B2EB033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93" w:type="dxa"/>
          </w:tcPr>
          <w:p w14:paraId="492A8F1C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11" w:type="dxa"/>
          </w:tcPr>
          <w:p w14:paraId="00C1054F" w14:textId="77777777" w:rsidR="002957FF" w:rsidRPr="00262114" w:rsidRDefault="002957FF" w:rsidP="002957F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D306D9" w:rsidRPr="002954A6" w14:paraId="2EBD9E27" w14:textId="77777777" w:rsidTr="00D306D9">
        <w:trPr>
          <w:trHeight w:val="2078"/>
        </w:trPr>
        <w:tc>
          <w:tcPr>
            <w:tcW w:w="2395" w:type="dxa"/>
            <w:vMerge w:val="restart"/>
            <w:tcMar>
              <w:top w:w="57" w:type="dxa"/>
              <w:bottom w:w="57" w:type="dxa"/>
            </w:tcMar>
          </w:tcPr>
          <w:p w14:paraId="6AF9BC0B" w14:textId="15ADDFA1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2957FF">
              <w:rPr>
                <w:rFonts w:ascii="Arial" w:hAnsi="Arial" w:cs="Arial"/>
                <w:sz w:val="18"/>
                <w:szCs w:val="18"/>
              </w:rPr>
              <w:t xml:space="preserve">Pupils achieve an ARE in English with a </w:t>
            </w:r>
            <w:r>
              <w:rPr>
                <w:rFonts w:ascii="Arial" w:hAnsi="Arial" w:cs="Arial"/>
                <w:sz w:val="18"/>
                <w:szCs w:val="18"/>
              </w:rPr>
              <w:t>specific focus on acquisition of good CLL in EYFS and Phonics in EYFS, Y1 and Y2</w:t>
            </w:r>
          </w:p>
        </w:tc>
        <w:tc>
          <w:tcPr>
            <w:tcW w:w="2441" w:type="dxa"/>
            <w:vMerge w:val="restart"/>
            <w:tcMar>
              <w:top w:w="57" w:type="dxa"/>
              <w:bottom w:w="57" w:type="dxa"/>
            </w:tcMar>
          </w:tcPr>
          <w:p w14:paraId="4A68F336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 have TA support all day to ensure that appropriate intervention groups can receive direct teaching. We also ensure that all classes have a TA for each morning – we teach English and maths as discrete lessons in the mornings across Ks1&amp;2. This ensures that target groups can be identified and supported. </w:t>
            </w:r>
          </w:p>
          <w:p w14:paraId="09AFEB32" w14:textId="374742A6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addition a team of 4 TAs are timetable across Ks1 and 2 to run directed intervention and supported learning. This may involve programmes such as FFT reading recovery and Every Child Counts or teacher identified and planned interventions.</w:t>
            </w:r>
          </w:p>
        </w:tc>
        <w:tc>
          <w:tcPr>
            <w:tcW w:w="3880" w:type="dxa"/>
            <w:vMerge w:val="restart"/>
            <w:tcMar>
              <w:top w:w="57" w:type="dxa"/>
              <w:bottom w:w="57" w:type="dxa"/>
            </w:tcMar>
          </w:tcPr>
          <w:p w14:paraId="3CDE9C54" w14:textId="43D4A096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2957FF">
              <w:rPr>
                <w:rFonts w:ascii="Arial" w:hAnsi="Arial" w:cs="Arial"/>
                <w:sz w:val="18"/>
                <w:szCs w:val="18"/>
              </w:rPr>
              <w:t>Monitoring evidence shows that the quality of teaching is good in EYFS and KS1</w:t>
            </w:r>
            <w:r>
              <w:rPr>
                <w:rFonts w:ascii="Arial" w:hAnsi="Arial" w:cs="Arial"/>
                <w:sz w:val="18"/>
                <w:szCs w:val="18"/>
              </w:rPr>
              <w:t>. This ensures that most children make good progress. Where children’s progress is less secure we are able to operate a range of effective interventions – these need TA time to operate – our PP funding supports the provision for this. Securing a good foundation in EYFS and KS1 means we can operate a ‘keep up’ not ‘catch up’ philosophy</w:t>
            </w:r>
          </w:p>
        </w:tc>
        <w:tc>
          <w:tcPr>
            <w:tcW w:w="3304" w:type="dxa"/>
            <w:vMerge w:val="restart"/>
            <w:tcMar>
              <w:top w:w="57" w:type="dxa"/>
              <w:bottom w:w="57" w:type="dxa"/>
            </w:tcMar>
          </w:tcPr>
          <w:p w14:paraId="4F2182DE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Termly progress reviews between the classteacher and headteacher are used to scrutinise pupil progress and attainment</w:t>
            </w:r>
          </w:p>
          <w:p w14:paraId="53A65976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C2E367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SENCO monitor Pupil Progress Plans</w:t>
            </w:r>
          </w:p>
          <w:p w14:paraId="629AB098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202113" w14:textId="6375B0AD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Staff meetings are used to share pupil outcomes from the progress reviews</w:t>
            </w:r>
          </w:p>
        </w:tc>
        <w:tc>
          <w:tcPr>
            <w:tcW w:w="1293" w:type="dxa"/>
            <w:vMerge w:val="restart"/>
          </w:tcPr>
          <w:p w14:paraId="42A1B895" w14:textId="3507C78C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All staff</w:t>
            </w:r>
          </w:p>
        </w:tc>
        <w:tc>
          <w:tcPr>
            <w:tcW w:w="2011" w:type="dxa"/>
          </w:tcPr>
          <w:p w14:paraId="067F1284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In year during progress reviews</w:t>
            </w:r>
          </w:p>
          <w:p w14:paraId="0E2995C4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  <w:r w:rsidRPr="00672361">
              <w:rPr>
                <w:rFonts w:ascii="Arial" w:hAnsi="Arial" w:cs="Arial"/>
                <w:sz w:val="18"/>
                <w:szCs w:val="18"/>
              </w:rPr>
              <w:t>Final review is in July 2017 when overall pupil attainment and progress is scrutinised</w:t>
            </w:r>
          </w:p>
          <w:p w14:paraId="30A144CA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D8D0FA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D5C742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30E6F" w14:textId="53F5FE76" w:rsidR="00D306D9" w:rsidRPr="00004FB6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6D9" w:rsidRPr="002954A6" w14:paraId="4C86317B" w14:textId="77777777" w:rsidTr="00D306D9">
        <w:trPr>
          <w:trHeight w:val="2078"/>
        </w:trPr>
        <w:tc>
          <w:tcPr>
            <w:tcW w:w="2395" w:type="dxa"/>
            <w:vMerge/>
            <w:tcMar>
              <w:top w:w="57" w:type="dxa"/>
              <w:bottom w:w="57" w:type="dxa"/>
            </w:tcMar>
          </w:tcPr>
          <w:p w14:paraId="0E87E2A1" w14:textId="77777777" w:rsidR="00D306D9" w:rsidRPr="002957FF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/>
            <w:tcMar>
              <w:top w:w="57" w:type="dxa"/>
              <w:bottom w:w="57" w:type="dxa"/>
            </w:tcMar>
          </w:tcPr>
          <w:p w14:paraId="0E0E0558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vMerge/>
            <w:tcMar>
              <w:top w:w="57" w:type="dxa"/>
              <w:bottom w:w="57" w:type="dxa"/>
            </w:tcMar>
          </w:tcPr>
          <w:p w14:paraId="4AEFC60D" w14:textId="77777777" w:rsidR="00D306D9" w:rsidRPr="002957FF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vMerge/>
            <w:tcMar>
              <w:top w:w="57" w:type="dxa"/>
              <w:bottom w:w="57" w:type="dxa"/>
            </w:tcMar>
          </w:tcPr>
          <w:p w14:paraId="6B8DCCB1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14:paraId="39F298B0" w14:textId="77777777" w:rsidR="00D306D9" w:rsidRPr="00672361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14:paraId="4D5A6A8B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B62F4A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40E6BA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E033EE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34FA72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7897BF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233EF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6F2CDC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8C4BC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02322" w14:textId="77777777" w:rsidR="00D306D9" w:rsidRDefault="00D306D9" w:rsidP="00862D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D8717A" w14:textId="45CF2BDB" w:rsidR="00D306D9" w:rsidRPr="008F0E03" w:rsidRDefault="00D306D9" w:rsidP="00862D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F0E03">
              <w:rPr>
                <w:rFonts w:ascii="Arial" w:hAnsi="Arial" w:cs="Arial"/>
                <w:b/>
                <w:sz w:val="18"/>
                <w:szCs w:val="18"/>
              </w:rPr>
              <w:t xml:space="preserve">Cost </w:t>
            </w:r>
            <w:r w:rsidR="008F0E03" w:rsidRPr="008F0E03">
              <w:rPr>
                <w:rFonts w:ascii="Arial" w:hAnsi="Arial" w:cs="Arial"/>
                <w:b/>
                <w:sz w:val="18"/>
                <w:szCs w:val="18"/>
              </w:rPr>
              <w:t>£8726</w:t>
            </w:r>
          </w:p>
        </w:tc>
      </w:tr>
      <w:tr w:rsidR="008F0E03" w:rsidRPr="002954A6" w14:paraId="6869F449" w14:textId="77777777" w:rsidTr="008F0E03">
        <w:trPr>
          <w:trHeight w:val="1791"/>
        </w:trPr>
        <w:tc>
          <w:tcPr>
            <w:tcW w:w="2395" w:type="dxa"/>
            <w:vMerge w:val="restart"/>
            <w:tcMar>
              <w:top w:w="57" w:type="dxa"/>
              <w:bottom w:w="57" w:type="dxa"/>
            </w:tcMar>
          </w:tcPr>
          <w:p w14:paraId="3B69123D" w14:textId="067C2C26" w:rsidR="008F0E03" w:rsidRPr="00004FB6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children with home reading/learning tasks</w:t>
            </w:r>
          </w:p>
        </w:tc>
        <w:tc>
          <w:tcPr>
            <w:tcW w:w="2441" w:type="dxa"/>
            <w:vMerge w:val="restart"/>
            <w:tcMar>
              <w:top w:w="57" w:type="dxa"/>
              <w:bottom w:w="57" w:type="dxa"/>
            </w:tcMar>
          </w:tcPr>
          <w:p w14:paraId="48ED805B" w14:textId="0783793E" w:rsidR="008F0E03" w:rsidRPr="00004FB6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 additional member of staff will be funded for afterschool club – Monday – Thursday up to 5pm. Targeted children will be invited to afterschool club where they will engage in play and social activities (in place of play dates etc) and undertake reading/home learning tasks</w:t>
            </w:r>
          </w:p>
        </w:tc>
        <w:tc>
          <w:tcPr>
            <w:tcW w:w="3880" w:type="dxa"/>
            <w:vMerge w:val="restart"/>
            <w:tcMar>
              <w:top w:w="57" w:type="dxa"/>
              <w:bottom w:w="57" w:type="dxa"/>
            </w:tcMar>
          </w:tcPr>
          <w:p w14:paraId="5A6206DD" w14:textId="76B47A81" w:rsidR="008F0E03" w:rsidRPr="00004FB6" w:rsidRDefault="008F0E03" w:rsidP="007A32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Monitoring shows that not all children undertake home learning and reading. This is a particular concern for YR ,1 and 2 where the children need adult interaction – this is crucial in the acquisition of the early literacy skills. It will help to ensure that the attainment gap is not widened due to advantages out of school time </w:t>
            </w:r>
          </w:p>
        </w:tc>
        <w:tc>
          <w:tcPr>
            <w:tcW w:w="3304" w:type="dxa"/>
            <w:vMerge w:val="restart"/>
            <w:tcMar>
              <w:top w:w="57" w:type="dxa"/>
              <w:bottom w:w="57" w:type="dxa"/>
            </w:tcMar>
          </w:tcPr>
          <w:p w14:paraId="5010153B" w14:textId="055C9FDC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progress reviews with classteacher</w:t>
            </w:r>
          </w:p>
          <w:p w14:paraId="7DAE2406" w14:textId="4D6D7F08" w:rsidR="008F0E03" w:rsidRPr="00004FB6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 of afterschool provision</w:t>
            </w:r>
          </w:p>
        </w:tc>
        <w:tc>
          <w:tcPr>
            <w:tcW w:w="1293" w:type="dxa"/>
            <w:vMerge w:val="restart"/>
          </w:tcPr>
          <w:p w14:paraId="7CAF3403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Classteachers</w:t>
            </w:r>
          </w:p>
          <w:p w14:paraId="1CA8EEEC" w14:textId="07846272" w:rsidR="008F0E03" w:rsidRPr="00004FB6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 Hardy – after school leader</w:t>
            </w:r>
          </w:p>
        </w:tc>
        <w:tc>
          <w:tcPr>
            <w:tcW w:w="2011" w:type="dxa"/>
          </w:tcPr>
          <w:p w14:paraId="37D256B0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2017</w:t>
            </w:r>
          </w:p>
          <w:p w14:paraId="1B546785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E28736" w14:textId="7CC155D9" w:rsidR="008F0E03" w:rsidRPr="00004FB6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E03" w:rsidRPr="002954A6" w14:paraId="0F61418B" w14:textId="77777777" w:rsidTr="008F0E03">
        <w:trPr>
          <w:trHeight w:val="369"/>
        </w:trPr>
        <w:tc>
          <w:tcPr>
            <w:tcW w:w="2395" w:type="dxa"/>
            <w:vMerge/>
            <w:tcMar>
              <w:top w:w="57" w:type="dxa"/>
              <w:bottom w:w="57" w:type="dxa"/>
            </w:tcMar>
          </w:tcPr>
          <w:p w14:paraId="4E57259E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/>
            <w:tcMar>
              <w:top w:w="57" w:type="dxa"/>
              <w:bottom w:w="57" w:type="dxa"/>
            </w:tcMar>
          </w:tcPr>
          <w:p w14:paraId="004B0DD2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vMerge/>
            <w:tcMar>
              <w:top w:w="57" w:type="dxa"/>
              <w:bottom w:w="57" w:type="dxa"/>
            </w:tcMar>
          </w:tcPr>
          <w:p w14:paraId="5A5DE896" w14:textId="77777777" w:rsidR="008F0E03" w:rsidRDefault="008F0E03" w:rsidP="007A32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vMerge/>
            <w:tcMar>
              <w:top w:w="57" w:type="dxa"/>
              <w:bottom w:w="57" w:type="dxa"/>
            </w:tcMar>
          </w:tcPr>
          <w:p w14:paraId="5FB09E47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14:paraId="15B50594" w14:textId="77777777" w:rsidR="008F0E03" w:rsidRDefault="008F0E03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14:paraId="6DB0B637" w14:textId="77777777" w:rsidR="008F0E03" w:rsidRDefault="008F0E03" w:rsidP="002957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£2210</w:t>
            </w:r>
            <w:r w:rsidRPr="008F0E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(over 1 yr)</w:t>
            </w:r>
          </w:p>
          <w:p w14:paraId="5CA3B4F0" w14:textId="78DFEB9C" w:rsidR="008F0E03" w:rsidRPr="008F0E03" w:rsidRDefault="008F0E03" w:rsidP="002957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£400 over 8 weeks in summer term</w:t>
            </w:r>
          </w:p>
        </w:tc>
      </w:tr>
      <w:tr w:rsidR="002957FF" w:rsidRPr="002954A6" w14:paraId="40BE0FA8" w14:textId="77777777" w:rsidTr="00D306D9">
        <w:trPr>
          <w:trHeight w:val="1"/>
        </w:trPr>
        <w:tc>
          <w:tcPr>
            <w:tcW w:w="15324" w:type="dxa"/>
            <w:gridSpan w:val="6"/>
            <w:tcMar>
              <w:top w:w="57" w:type="dxa"/>
              <w:bottom w:w="57" w:type="dxa"/>
            </w:tcMar>
          </w:tcPr>
          <w:p w14:paraId="43CD9446" w14:textId="2F4B5A9C" w:rsidR="002957FF" w:rsidRPr="002954A6" w:rsidRDefault="002957FF" w:rsidP="002957F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7FF" w:rsidRPr="002954A6" w14:paraId="14415231" w14:textId="77777777" w:rsidTr="00D306D9">
        <w:trPr>
          <w:trHeight w:val="750"/>
        </w:trPr>
        <w:tc>
          <w:tcPr>
            <w:tcW w:w="2395" w:type="dxa"/>
            <w:tcMar>
              <w:top w:w="57" w:type="dxa"/>
              <w:bottom w:w="57" w:type="dxa"/>
            </w:tcMar>
          </w:tcPr>
          <w:p w14:paraId="566B6BC8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14:paraId="7212C9FE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80" w:type="dxa"/>
            <w:tcMar>
              <w:top w:w="57" w:type="dxa"/>
              <w:bottom w:w="57" w:type="dxa"/>
            </w:tcMar>
          </w:tcPr>
          <w:p w14:paraId="55DC1C85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304" w:type="dxa"/>
            <w:tcMar>
              <w:top w:w="57" w:type="dxa"/>
              <w:bottom w:w="57" w:type="dxa"/>
            </w:tcMar>
          </w:tcPr>
          <w:p w14:paraId="783EEEE8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93" w:type="dxa"/>
          </w:tcPr>
          <w:p w14:paraId="21603D42" w14:textId="77777777" w:rsidR="002957FF" w:rsidRPr="002954A6" w:rsidRDefault="002957FF" w:rsidP="002957F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2011" w:type="dxa"/>
          </w:tcPr>
          <w:p w14:paraId="041AD3F0" w14:textId="77777777" w:rsidR="002957FF" w:rsidRPr="00262114" w:rsidRDefault="002957FF" w:rsidP="002957F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1C351B" w:rsidRPr="002954A6" w14:paraId="47ED10D0" w14:textId="77777777" w:rsidTr="001C351B">
        <w:trPr>
          <w:trHeight w:val="621"/>
        </w:trPr>
        <w:tc>
          <w:tcPr>
            <w:tcW w:w="2395" w:type="dxa"/>
            <w:vMerge w:val="restart"/>
            <w:tcMar>
              <w:top w:w="57" w:type="dxa"/>
              <w:bottom w:w="57" w:type="dxa"/>
            </w:tcMar>
          </w:tcPr>
          <w:p w14:paraId="28FAD787" w14:textId="20076D01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 children with emotional needs, well being and through transition</w:t>
            </w:r>
          </w:p>
        </w:tc>
        <w:tc>
          <w:tcPr>
            <w:tcW w:w="2441" w:type="dxa"/>
            <w:vMerge w:val="restart"/>
            <w:tcMar>
              <w:top w:w="57" w:type="dxa"/>
              <w:bottom w:w="57" w:type="dxa"/>
            </w:tcMar>
          </w:tcPr>
          <w:p w14:paraId="3A2B1296" w14:textId="467A785D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school has well established routines for transition and pastoral care that meets the needs for most children. Where additional needs are identified the school has a trained ELSA TA who works 1 afternoon a week with identified children in addition to a Nurture trained TA – 1 pm a week</w:t>
            </w:r>
          </w:p>
        </w:tc>
        <w:tc>
          <w:tcPr>
            <w:tcW w:w="3880" w:type="dxa"/>
            <w:vMerge w:val="restart"/>
            <w:tcMar>
              <w:top w:w="57" w:type="dxa"/>
              <w:bottom w:w="57" w:type="dxa"/>
            </w:tcMar>
          </w:tcPr>
          <w:p w14:paraId="57B74771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has been established in school  and has had a positive effect in restoring children’s readiness to engage in learning ad social play when events in school or outside of school have impacted upon their emotional well being.</w:t>
            </w:r>
          </w:p>
          <w:p w14:paraId="0AF0A1C0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74D558" w14:textId="4C79F45A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support for transition has ensured that children are able to pick up learning quickly when they arrive at school or change year group.</w:t>
            </w:r>
          </w:p>
        </w:tc>
        <w:tc>
          <w:tcPr>
            <w:tcW w:w="3304" w:type="dxa"/>
            <w:vMerge w:val="restart"/>
            <w:tcMar>
              <w:top w:w="57" w:type="dxa"/>
              <w:bottom w:w="57" w:type="dxa"/>
            </w:tcMar>
          </w:tcPr>
          <w:p w14:paraId="1A294413" w14:textId="2491F860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SENCO works with the ELSA and Nurture staff to ensure that the interventions are appropriate and have the desired impact – this is through identified assessment tools and in depth discussion</w:t>
            </w:r>
          </w:p>
        </w:tc>
        <w:tc>
          <w:tcPr>
            <w:tcW w:w="1293" w:type="dxa"/>
            <w:vMerge w:val="restart"/>
          </w:tcPr>
          <w:p w14:paraId="3C253BBC" w14:textId="7AC3E3FA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SENCO</w:t>
            </w:r>
          </w:p>
        </w:tc>
        <w:tc>
          <w:tcPr>
            <w:tcW w:w="2011" w:type="dxa"/>
          </w:tcPr>
          <w:p w14:paraId="56BF4CF7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 2017</w:t>
            </w:r>
          </w:p>
          <w:p w14:paraId="03F877B3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14CAF1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BA733E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E3D662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A444AB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B3082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B0C3A4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7162ED" w14:textId="480DDC0A" w:rsidR="001C351B" w:rsidRPr="00AE78F2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351B" w:rsidRPr="002954A6" w14:paraId="51132DC4" w14:textId="77777777" w:rsidTr="001C351B">
        <w:trPr>
          <w:trHeight w:val="450"/>
        </w:trPr>
        <w:tc>
          <w:tcPr>
            <w:tcW w:w="2395" w:type="dxa"/>
            <w:vMerge/>
            <w:tcMar>
              <w:top w:w="57" w:type="dxa"/>
              <w:bottom w:w="57" w:type="dxa"/>
            </w:tcMar>
          </w:tcPr>
          <w:p w14:paraId="61AB25DD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/>
            <w:tcMar>
              <w:top w:w="57" w:type="dxa"/>
              <w:bottom w:w="57" w:type="dxa"/>
            </w:tcMar>
          </w:tcPr>
          <w:p w14:paraId="7DD88C7D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vMerge/>
            <w:tcMar>
              <w:top w:w="57" w:type="dxa"/>
              <w:bottom w:w="57" w:type="dxa"/>
            </w:tcMar>
          </w:tcPr>
          <w:p w14:paraId="77928541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vMerge/>
            <w:tcMar>
              <w:top w:w="57" w:type="dxa"/>
              <w:bottom w:w="57" w:type="dxa"/>
            </w:tcMar>
          </w:tcPr>
          <w:p w14:paraId="4B0EF38B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14:paraId="17A1E8C0" w14:textId="77777777" w:rsidR="001C351B" w:rsidRDefault="001C351B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14:paraId="396ACBA4" w14:textId="572998ED" w:rsidR="001C351B" w:rsidRPr="001C351B" w:rsidRDefault="001C351B" w:rsidP="002957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Cost £4378</w:t>
            </w:r>
          </w:p>
        </w:tc>
      </w:tr>
      <w:tr w:rsidR="002957FF" w:rsidRPr="002954A6" w14:paraId="2CDA95A9" w14:textId="77777777" w:rsidTr="001C351B">
        <w:trPr>
          <w:trHeight w:val="26"/>
        </w:trPr>
        <w:tc>
          <w:tcPr>
            <w:tcW w:w="2395" w:type="dxa"/>
            <w:tcMar>
              <w:top w:w="57" w:type="dxa"/>
              <w:bottom w:w="57" w:type="dxa"/>
            </w:tcMar>
          </w:tcPr>
          <w:p w14:paraId="6CAAD8FF" w14:textId="2D3CA773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tcMar>
              <w:top w:w="57" w:type="dxa"/>
              <w:bottom w:w="57" w:type="dxa"/>
            </w:tcMar>
          </w:tcPr>
          <w:p w14:paraId="71539BE1" w14:textId="77777777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0" w:type="dxa"/>
            <w:tcMar>
              <w:top w:w="57" w:type="dxa"/>
              <w:bottom w:w="57" w:type="dxa"/>
            </w:tcMar>
          </w:tcPr>
          <w:p w14:paraId="2F9000A6" w14:textId="77777777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4" w:type="dxa"/>
            <w:tcMar>
              <w:top w:w="57" w:type="dxa"/>
              <w:bottom w:w="57" w:type="dxa"/>
            </w:tcMar>
          </w:tcPr>
          <w:p w14:paraId="4275A829" w14:textId="77777777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3" w:type="dxa"/>
          </w:tcPr>
          <w:p w14:paraId="36C10E27" w14:textId="77777777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1" w:type="dxa"/>
          </w:tcPr>
          <w:p w14:paraId="2748BF2B" w14:textId="77777777" w:rsidR="002957FF" w:rsidRPr="00004FB6" w:rsidRDefault="002957FF" w:rsidP="002957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512385" w14:textId="6E3A876B" w:rsidR="00CF1B9B" w:rsidRPr="002954A6" w:rsidRDefault="00CF1B9B">
      <w:r w:rsidRPr="002954A6">
        <w:br w:type="page"/>
      </w:r>
    </w:p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238624A0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6A913939" w:rsidR="000B25ED" w:rsidRPr="002954A6" w:rsidRDefault="00A64575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Sept 2017</w:t>
            </w:r>
            <w:bookmarkStart w:id="0" w:name="_GoBack"/>
            <w:bookmarkEnd w:id="0"/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7D6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2CF5A73B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7D6D3F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D77FA4A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55A6187D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7D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7D6D3F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7D6D3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7D6D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D9FC2B8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3B4FE" w14:textId="77777777" w:rsidR="001F4B60" w:rsidRDefault="001F4B60" w:rsidP="00CD68B1">
      <w:r>
        <w:separator/>
      </w:r>
    </w:p>
  </w:endnote>
  <w:endnote w:type="continuationSeparator" w:id="0">
    <w:p w14:paraId="49F1BD4E" w14:textId="77777777" w:rsidR="001F4B60" w:rsidRDefault="001F4B6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31C13" w14:textId="77777777" w:rsidR="001F4B60" w:rsidRDefault="001F4B60" w:rsidP="00CD68B1">
      <w:r>
        <w:separator/>
      </w:r>
    </w:p>
  </w:footnote>
  <w:footnote w:type="continuationSeparator" w:id="0">
    <w:p w14:paraId="6B78EFD9" w14:textId="77777777" w:rsidR="001F4B60" w:rsidRDefault="001F4B6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0B6D"/>
    <w:rsid w:val="00052324"/>
    <w:rsid w:val="000557F9"/>
    <w:rsid w:val="0006219B"/>
    <w:rsid w:val="00063367"/>
    <w:rsid w:val="00085CBE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B794A"/>
    <w:rsid w:val="001C1E5F"/>
    <w:rsid w:val="001C351B"/>
    <w:rsid w:val="001C686D"/>
    <w:rsid w:val="001E7B91"/>
    <w:rsid w:val="001F4B60"/>
    <w:rsid w:val="0022528C"/>
    <w:rsid w:val="00232CF5"/>
    <w:rsid w:val="00240F98"/>
    <w:rsid w:val="00254A66"/>
    <w:rsid w:val="00256A55"/>
    <w:rsid w:val="00257811"/>
    <w:rsid w:val="00262114"/>
    <w:rsid w:val="002622B6"/>
    <w:rsid w:val="00267F85"/>
    <w:rsid w:val="002856C3"/>
    <w:rsid w:val="002954A6"/>
    <w:rsid w:val="002957FF"/>
    <w:rsid w:val="002962F2"/>
    <w:rsid w:val="002B3394"/>
    <w:rsid w:val="002D0A33"/>
    <w:rsid w:val="002D22A0"/>
    <w:rsid w:val="002E2F47"/>
    <w:rsid w:val="002E686F"/>
    <w:rsid w:val="002F6FB5"/>
    <w:rsid w:val="00320C3A"/>
    <w:rsid w:val="00337056"/>
    <w:rsid w:val="00351952"/>
    <w:rsid w:val="00366499"/>
    <w:rsid w:val="00375E3C"/>
    <w:rsid w:val="00380587"/>
    <w:rsid w:val="003822C1"/>
    <w:rsid w:val="00390402"/>
    <w:rsid w:val="003957BD"/>
    <w:rsid w:val="003961A3"/>
    <w:rsid w:val="003B5C5D"/>
    <w:rsid w:val="003B6371"/>
    <w:rsid w:val="003C610D"/>
    <w:rsid w:val="003C79F6"/>
    <w:rsid w:val="003D1BCA"/>
    <w:rsid w:val="003D2143"/>
    <w:rsid w:val="003D7DA7"/>
    <w:rsid w:val="003F7BE2"/>
    <w:rsid w:val="004029AD"/>
    <w:rsid w:val="00402EED"/>
    <w:rsid w:val="004107D2"/>
    <w:rsid w:val="00423264"/>
    <w:rsid w:val="00435936"/>
    <w:rsid w:val="00446A50"/>
    <w:rsid w:val="00456ABA"/>
    <w:rsid w:val="004640BD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D6C2B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1912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54DF5"/>
    <w:rsid w:val="00672361"/>
    <w:rsid w:val="006813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16773"/>
    <w:rsid w:val="007335B7"/>
    <w:rsid w:val="00743BF3"/>
    <w:rsid w:val="00746605"/>
    <w:rsid w:val="00765EFB"/>
    <w:rsid w:val="00766387"/>
    <w:rsid w:val="00767E1D"/>
    <w:rsid w:val="00797116"/>
    <w:rsid w:val="007A2742"/>
    <w:rsid w:val="007A32DD"/>
    <w:rsid w:val="007B141B"/>
    <w:rsid w:val="007B228E"/>
    <w:rsid w:val="007C2B91"/>
    <w:rsid w:val="007C4F4A"/>
    <w:rsid w:val="007C749E"/>
    <w:rsid w:val="007D6D3F"/>
    <w:rsid w:val="007F271A"/>
    <w:rsid w:val="007F3C16"/>
    <w:rsid w:val="00807654"/>
    <w:rsid w:val="00827203"/>
    <w:rsid w:val="00830F84"/>
    <w:rsid w:val="0084389C"/>
    <w:rsid w:val="00845265"/>
    <w:rsid w:val="0085024F"/>
    <w:rsid w:val="00862D9A"/>
    <w:rsid w:val="00863790"/>
    <w:rsid w:val="00864593"/>
    <w:rsid w:val="0088412D"/>
    <w:rsid w:val="008B7FE5"/>
    <w:rsid w:val="008C10E9"/>
    <w:rsid w:val="008D58CE"/>
    <w:rsid w:val="008E364E"/>
    <w:rsid w:val="008E64E9"/>
    <w:rsid w:val="008F0E03"/>
    <w:rsid w:val="008F0F73"/>
    <w:rsid w:val="008F69EC"/>
    <w:rsid w:val="009021E8"/>
    <w:rsid w:val="009079EE"/>
    <w:rsid w:val="009146DB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64575"/>
    <w:rsid w:val="00A77153"/>
    <w:rsid w:val="00A8709B"/>
    <w:rsid w:val="00AB4D2D"/>
    <w:rsid w:val="00AB5B2A"/>
    <w:rsid w:val="00AE66C2"/>
    <w:rsid w:val="00AE77EC"/>
    <w:rsid w:val="00AE78F2"/>
    <w:rsid w:val="00AF3085"/>
    <w:rsid w:val="00B01C9A"/>
    <w:rsid w:val="00B07BEA"/>
    <w:rsid w:val="00B13714"/>
    <w:rsid w:val="00B17B33"/>
    <w:rsid w:val="00B24B98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B1275"/>
    <w:rsid w:val="00BC54E1"/>
    <w:rsid w:val="00BC7733"/>
    <w:rsid w:val="00BE3670"/>
    <w:rsid w:val="00BE3A39"/>
    <w:rsid w:val="00BE5BCA"/>
    <w:rsid w:val="00BF7D9F"/>
    <w:rsid w:val="00C00F3C"/>
    <w:rsid w:val="00C04C4C"/>
    <w:rsid w:val="00C068B2"/>
    <w:rsid w:val="00C102E1"/>
    <w:rsid w:val="00C14FAE"/>
    <w:rsid w:val="00C32D5C"/>
    <w:rsid w:val="00C3311C"/>
    <w:rsid w:val="00C34113"/>
    <w:rsid w:val="00C35120"/>
    <w:rsid w:val="00C416E8"/>
    <w:rsid w:val="00C44EE2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CF7694"/>
    <w:rsid w:val="00D10855"/>
    <w:rsid w:val="00D11A2D"/>
    <w:rsid w:val="00D306D9"/>
    <w:rsid w:val="00D309A5"/>
    <w:rsid w:val="00D332CB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0F25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2390"/>
    <w:rsid w:val="00E96E48"/>
    <w:rsid w:val="00EB090F"/>
    <w:rsid w:val="00EB7216"/>
    <w:rsid w:val="00ED0F8C"/>
    <w:rsid w:val="00EE4D95"/>
    <w:rsid w:val="00EE50D0"/>
    <w:rsid w:val="00EF2A09"/>
    <w:rsid w:val="00EF2C1C"/>
    <w:rsid w:val="00F061E8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2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6F0B68F-E82B-B245-9EE4-0ADEE6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7097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Microsoft Office User</cp:lastModifiedBy>
  <cp:revision>3</cp:revision>
  <cp:lastPrinted>2017-05-09T13:23:00Z</cp:lastPrinted>
  <dcterms:created xsi:type="dcterms:W3CDTF">2017-05-14T20:21:00Z</dcterms:created>
  <dcterms:modified xsi:type="dcterms:W3CDTF">2017-05-14T20:22:00Z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